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A" w:rsidRDefault="0086170A" w:rsidP="0086170A">
      <w:pPr>
        <w:spacing w:after="0" w:line="240" w:lineRule="auto"/>
        <w:rPr>
          <w:rFonts w:ascii="MS Gothic" w:eastAsia="MS Gothic" w:hAnsi="MS Gothic" w:cs="MS Gothic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HLK-RM02 Brief Introduction</w:t>
      </w:r>
      <w:proofErr w:type="gram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 (</w:t>
      </w:r>
      <w:proofErr w:type="gram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smallest router in the world)</w:t>
      </w:r>
      <w:r w:rsidRPr="0086170A">
        <w:rPr>
          <w:rFonts w:ascii="MS Gothic" w:eastAsia="MS Gothic" w:hAnsi="MS Gothic" w:cs="MS Gothic"/>
          <w:color w:val="333333"/>
          <w:sz w:val="18"/>
          <w:szCs w:val="18"/>
          <w:lang w:val="en-US" w:eastAsia="ru-RU"/>
        </w:rPr>
        <w:t>：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 xml:space="preserve">Support serial to </w:t>
      </w:r>
      <w:proofErr w:type="spellStart"/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>wifi</w:t>
      </w:r>
      <w:proofErr w:type="gramStart"/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>,serial</w:t>
      </w:r>
      <w:proofErr w:type="spellEnd"/>
      <w:proofErr w:type="gramEnd"/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 xml:space="preserve"> to RJ45,RJ45 to </w:t>
      </w:r>
      <w:proofErr w:type="spellStart"/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>wifi</w:t>
      </w:r>
      <w:proofErr w:type="spellEnd"/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>.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>Support TCP/UDP/HTTP/ DHCP</w:t>
      </w:r>
    </w:p>
    <w:p w:rsidR="0086170A" w:rsidRDefault="0086170A" w:rsidP="0086170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</w:pPr>
      <w:r w:rsidRPr="0086170A">
        <w:rPr>
          <w:rFonts w:ascii="Arial" w:eastAsia="Times New Roman" w:hAnsi="Arial" w:cs="Arial"/>
          <w:b/>
          <w:bCs/>
          <w:color w:val="333333"/>
          <w:sz w:val="18"/>
          <w:lang w:val="en-US" w:eastAsia="ru-RU"/>
        </w:rPr>
        <w:t>Support transparent transmission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HLK-RM02 is a Mini wireless router basic with the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Ralink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RT5350 main chip. 5V power supply, the 2.4GHz ISM band, accord with wireless IEEE802.11b/g/n standard protocol. This module allows the user to access 802.11b/g/n </w:t>
      </w:r>
      <w:proofErr w:type="gram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Wi-</w:t>
      </w:r>
      <w:proofErr w:type="gram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Fi Internet and surf the net easily.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1</w:t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eastAsia="ru-RU"/>
        </w:rPr>
        <w:t>、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Hardware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One 10/100Mbps WAN switch port, support Auto-MDI/MDIX</w:t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，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Automatic detection of parallel lines and jumpers</w:t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，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available connection for ADSL /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CableModem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.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Have a reset switch (Reset), can restore to factory value default easily.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2</w:t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eastAsia="ru-RU"/>
        </w:rPr>
        <w:t>、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Software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br/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According with 802.11b/g/n wireless transmission standard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Band rate 2.4GHz (1-13 channels, ISM band)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Automatically Rate detect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Meet IEEE802.11n, IEEE802.11g and 802.11b wireless standard specifications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Board ceramic antenna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3</w:t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eastAsia="ru-RU"/>
        </w:rPr>
        <w:t>、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Router internal software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Support for Web Settings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Universal Plug and Play (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UpnP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) function, support for online games and online audio and video transmission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Provide Dynamic DNS (DDNS), support dynamic IP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wordpress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function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Supports NAT function, provides a multiplayer online environment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Supports virtual server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Support for broadband telecommunications services such as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xDSL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and Cable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Support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PPPoE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timing system Internet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Support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DHCPServer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/Client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br/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Support a DMZ host functions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To support IPSec/PPTP/L2TPVPN transparent (Pass-Through) function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Support applications require multiple connection settings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System logs feature allows users to query historical data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4</w:t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eastAsia="ru-RU"/>
        </w:rPr>
        <w:t>、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Security Mechanism Section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Support 64/128 (802.11G) bit WEP wireless encryption and dual-mode password </w:t>
      </w:r>
      <w:proofErr w:type="gram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:HEX</w:t>
      </w:r>
      <w:proofErr w:type="gram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/ ASCII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Support WPA/WPA2(TKIP/AES)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br/>
      </w: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Provide user-defined access control list (ACL) mechanism, and supports IP address / URL / MAC address / domain name filtering capabilities.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eastAsia="ru-RU"/>
        </w:rPr>
        <w:t>◆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Support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for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remote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management</w:t>
      </w:r>
      <w:proofErr w:type="spellEnd"/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5. Front panel indicator significance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WIFI: The WIFI indicator light was operated by HLK-</w:t>
      </w:r>
      <w:proofErr w:type="gramStart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MP03 ,</w:t>
      </w:r>
      <w:proofErr w:type="gramEnd"/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the light flashes green in the normal operation when received wireless transceiver data</w:t>
      </w:r>
    </w:p>
    <w:p w:rsid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val="en-US" w:eastAsia="ru-RU"/>
        </w:rPr>
        <w:t>◆</w:t>
      </w: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RST button: Press the button for more than 10 minutes, restore the factory settings.</w:t>
      </w:r>
    </w:p>
    <w:p w:rsid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70A">
        <w:rPr>
          <w:rFonts w:ascii="MS Gothic" w:eastAsia="MS Gothic" w:hAnsi="MS Gothic" w:cs="MS Gothic" w:hint="eastAsia"/>
          <w:color w:val="333333"/>
          <w:sz w:val="18"/>
          <w:szCs w:val="18"/>
          <w:lang w:eastAsia="ru-RU"/>
        </w:rPr>
        <w:t>二：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Product</w:t>
      </w:r>
      <w:proofErr w:type="spellEnd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parameters</w:t>
      </w:r>
      <w:proofErr w:type="spellEnd"/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  <w:gridCol w:w="6270"/>
      </w:tblGrid>
      <w:tr w:rsidR="0086170A" w:rsidRPr="0086170A" w:rsidTr="0086170A">
        <w:trPr>
          <w:tblCellSpacing w:w="0" w:type="dxa"/>
        </w:trPr>
        <w:tc>
          <w:tcPr>
            <w:tcW w:w="216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Product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Wireless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router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PCBA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Net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wireless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：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802.11n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eastAsia="ru-RU"/>
              </w:rPr>
              <w:t>、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802.11g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eastAsia="ru-RU"/>
              </w:rPr>
              <w:t>、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802.11b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wired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：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802.3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eastAsia="ru-RU"/>
              </w:rPr>
              <w:t>、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802.3u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Wireless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transmission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rate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11n: up to 150Mbps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  <w:t>11g:up to 54Mbps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  <w:t>11b:up to11Mbps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tracks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1-14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frequency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range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2.4-2.4835G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transmitting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power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12-15DBM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interface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One 10/100Mbps LAN/WAN reset interface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8430" w:type="dxa"/>
            <w:gridSpan w:val="2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Antenna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Onboard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antenna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8430" w:type="dxa"/>
            <w:gridSpan w:val="2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Function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parameters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WDS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function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Support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WDS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wireless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bridge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Wireless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security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Wireless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MAC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address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filtration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Wireless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safety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function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switch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64/128/152 WEP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encipher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WPA-PSK/WPA2-PSK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eastAsia="ru-RU"/>
              </w:rPr>
              <w:t>、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WPA/WPA2 security mechanism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Network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management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Remote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management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Configuration file import and export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WEB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software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upgrade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8430" w:type="dxa"/>
            <w:gridSpan w:val="2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others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Status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indicator</w:t>
            </w:r>
            <w:proofErr w:type="spellEnd"/>
          </w:p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Status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indicate</w:t>
            </w:r>
            <w:proofErr w:type="spellEnd"/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Environmental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Operating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temperature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eastAsia="ru-RU"/>
              </w:rPr>
              <w:t>：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0-40</w:t>
            </w:r>
            <w:r w:rsidRPr="0086170A">
              <w:rPr>
                <w:rFonts w:ascii="Cambria Math" w:eastAsia="Times New Roman" w:hAnsi="Cambria Math" w:cs="Cambria Math"/>
                <w:color w:val="333333"/>
                <w:sz w:val="18"/>
                <w:szCs w:val="18"/>
                <w:lang w:eastAsia="ru-RU"/>
              </w:rPr>
              <w:t>℃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Operating humidity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：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10%-90%RH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（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no condensing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）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Storage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temperature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eastAsia="ru-RU"/>
              </w:rPr>
              <w:t>：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-40-70</w:t>
            </w:r>
            <w:r w:rsidRPr="0086170A">
              <w:rPr>
                <w:rFonts w:ascii="Cambria Math" w:eastAsia="Times New Roman" w:hAnsi="Cambria Math" w:cs="Cambria Math"/>
                <w:color w:val="333333"/>
                <w:sz w:val="18"/>
                <w:szCs w:val="18"/>
                <w:lang w:eastAsia="ru-RU"/>
              </w:rPr>
              <w:t>℃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Storage humidity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：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5%-90%RH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（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no condensing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）</w:t>
            </w:r>
          </w:p>
        </w:tc>
      </w:tr>
      <w:tr w:rsidR="0086170A" w:rsidRPr="0086170A" w:rsidTr="008617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Additional</w:t>
            </w:r>
            <w:proofErr w:type="spellEnd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properties</w:t>
            </w:r>
            <w:proofErr w:type="spellEnd"/>
          </w:p>
        </w:tc>
        <w:tc>
          <w:tcPr>
            <w:tcW w:w="6270" w:type="dxa"/>
            <w:vAlign w:val="center"/>
            <w:hideMark/>
          </w:tcPr>
          <w:p w:rsidR="0086170A" w:rsidRPr="0086170A" w:rsidRDefault="0086170A" w:rsidP="00861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Band bandwidth selectable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：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20MHz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eastAsia="ru-RU"/>
              </w:rPr>
              <w:t>、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40MHz</w:t>
            </w:r>
            <w:r w:rsidRPr="0086170A">
              <w:rPr>
                <w:rFonts w:ascii="MS Gothic" w:eastAsia="MS Gothic" w:hAnsi="MS Gothic" w:cs="MS Gothic"/>
                <w:color w:val="333333"/>
                <w:sz w:val="18"/>
                <w:szCs w:val="18"/>
                <w:lang w:val="en-US" w:eastAsia="ru-RU"/>
              </w:rPr>
              <w:t>，</w:t>
            </w:r>
            <w:r w:rsidRPr="0086170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automatic</w:t>
            </w:r>
          </w:p>
        </w:tc>
      </w:tr>
    </w:tbl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6170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800725" cy="4067175"/>
            <wp:effectExtent l="19050" t="0" r="9525" b="0"/>
            <wp:docPr id="1" name="Рисунок 1" descr="http://www.hlktech.net/u_file/product/12_09_28/ea9a5a2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lktech.net/u_file/product/12_09_28/ea9a5a21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0A" w:rsidRPr="0086170A" w:rsidRDefault="0086170A" w:rsidP="0086170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B0275" w:rsidRDefault="008B0275"/>
    <w:sectPr w:rsidR="008B0275" w:rsidSect="008B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0A"/>
    <w:rsid w:val="0086170A"/>
    <w:rsid w:val="008B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2017-09-27T14:26:00Z</dcterms:created>
  <dcterms:modified xsi:type="dcterms:W3CDTF">2017-09-27T14:26:00Z</dcterms:modified>
</cp:coreProperties>
</file>